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CCC" w:rsidRDefault="006B0CCC" w:rsidP="006B0CCC">
      <w:pPr>
        <w:spacing w:line="520" w:lineRule="exact"/>
        <w:rPr>
          <w:rFonts w:ascii="黑体" w:eastAsia="黑体" w:hAnsi="黑体" w:hint="eastAsia"/>
          <w:sz w:val="32"/>
          <w:szCs w:val="32"/>
        </w:rPr>
      </w:pPr>
      <w:r w:rsidRPr="00C87731">
        <w:rPr>
          <w:rFonts w:ascii="黑体" w:eastAsia="黑体" w:hAnsi="黑体" w:hint="eastAsia"/>
          <w:sz w:val="32"/>
          <w:szCs w:val="32"/>
        </w:rPr>
        <w:t>附件1</w:t>
      </w:r>
    </w:p>
    <w:p w:rsidR="006B0CCC" w:rsidRPr="00C87731" w:rsidRDefault="006B0CCC" w:rsidP="006B0CCC">
      <w:pPr>
        <w:spacing w:line="520" w:lineRule="exact"/>
        <w:rPr>
          <w:rFonts w:ascii="黑体" w:eastAsia="黑体" w:hAnsi="黑体" w:hint="eastAsia"/>
          <w:sz w:val="32"/>
          <w:szCs w:val="32"/>
        </w:rPr>
      </w:pPr>
    </w:p>
    <w:p w:rsidR="006B0CCC" w:rsidRPr="00716160" w:rsidRDefault="006B0CCC" w:rsidP="006B0CCC">
      <w:pPr>
        <w:spacing w:line="560" w:lineRule="exact"/>
        <w:jc w:val="center"/>
        <w:rPr>
          <w:rFonts w:ascii="方正小标宋简体" w:eastAsia="方正小标宋简体" w:hAnsi="华文中宋"/>
          <w:sz w:val="44"/>
          <w:szCs w:val="44"/>
          <w:lang w:val="zh-CN"/>
        </w:rPr>
      </w:pPr>
      <w:r w:rsidRPr="00716160">
        <w:rPr>
          <w:rFonts w:ascii="方正小标宋简体" w:eastAsia="方正小标宋简体" w:hAnsi="华文中宋" w:hint="eastAsia"/>
          <w:sz w:val="44"/>
          <w:szCs w:val="44"/>
          <w:lang w:val="zh-CN"/>
        </w:rPr>
        <w:t>数字图书馆推广工程基层图书馆互联互通</w:t>
      </w:r>
    </w:p>
    <w:p w:rsidR="006B0CCC" w:rsidRDefault="006B0CCC" w:rsidP="006B0CCC">
      <w:pPr>
        <w:spacing w:line="560" w:lineRule="exact"/>
        <w:jc w:val="center"/>
        <w:rPr>
          <w:rFonts w:ascii="方正小标宋简体" w:eastAsia="方正小标宋简体" w:hAnsi="华文中宋" w:hint="eastAsia"/>
          <w:sz w:val="44"/>
          <w:szCs w:val="44"/>
          <w:lang w:val="zh-CN"/>
        </w:rPr>
      </w:pPr>
      <w:r w:rsidRPr="00716160">
        <w:rPr>
          <w:rFonts w:ascii="方正小标宋简体" w:eastAsia="方正小标宋简体" w:hAnsi="华文中宋" w:hint="eastAsia"/>
          <w:sz w:val="44"/>
          <w:szCs w:val="44"/>
          <w:lang w:val="zh-CN"/>
        </w:rPr>
        <w:t>建设实施方案</w:t>
      </w:r>
    </w:p>
    <w:p w:rsidR="006B0CCC" w:rsidRPr="00716160" w:rsidRDefault="006B0CCC" w:rsidP="006B0CCC">
      <w:pPr>
        <w:spacing w:line="560" w:lineRule="exact"/>
        <w:jc w:val="center"/>
        <w:rPr>
          <w:rFonts w:ascii="方正小标宋简体" w:eastAsia="方正小标宋简体" w:hAnsi="华文中宋"/>
          <w:sz w:val="44"/>
          <w:szCs w:val="44"/>
          <w:lang w:val="zh-CN"/>
        </w:rPr>
      </w:pPr>
    </w:p>
    <w:p w:rsidR="006B0CCC" w:rsidRPr="00C87731" w:rsidRDefault="006B0CCC" w:rsidP="006B0CCC">
      <w:pPr>
        <w:spacing w:line="560" w:lineRule="exact"/>
        <w:ind w:firstLineChars="200" w:firstLine="640"/>
        <w:rPr>
          <w:rFonts w:ascii="黑体" w:eastAsia="黑体" w:hAnsi="黑体"/>
          <w:sz w:val="32"/>
          <w:szCs w:val="32"/>
        </w:rPr>
      </w:pPr>
      <w:r w:rsidRPr="00C87731">
        <w:rPr>
          <w:rFonts w:ascii="黑体" w:eastAsia="黑体" w:hAnsi="黑体" w:hint="eastAsia"/>
          <w:sz w:val="32"/>
          <w:szCs w:val="32"/>
        </w:rPr>
        <w:t>一、项目内容</w:t>
      </w:r>
    </w:p>
    <w:p w:rsidR="006B0CCC" w:rsidRPr="00716160" w:rsidRDefault="006B0CCC" w:rsidP="006B0CCC">
      <w:pPr>
        <w:spacing w:line="560" w:lineRule="exact"/>
        <w:ind w:firstLineChars="196" w:firstLine="627"/>
        <w:jc w:val="left"/>
        <w:rPr>
          <w:rFonts w:ascii="仿宋_GB2312" w:eastAsia="仿宋_GB2312" w:hint="eastAsia"/>
          <w:sz w:val="32"/>
          <w:szCs w:val="32"/>
        </w:rPr>
      </w:pPr>
      <w:r w:rsidRPr="00716160">
        <w:rPr>
          <w:rFonts w:ascii="仿宋_GB2312" w:eastAsia="仿宋_GB2312" w:hint="eastAsia"/>
          <w:sz w:val="32"/>
          <w:szCs w:val="32"/>
        </w:rPr>
        <w:t>基层图书馆互联互通建设是“十三五文化发展规划纲要”提出“重点深化发展文化体系建设，推动基本公共文化服务标准化、均等化发展，引导文化资源向城乡基层倾斜，创新公共文化服务方式，保障人民基本文化权益”的重点基础建设项目，是贯彻执行“十三五文化发展规划纲要”强调的“增强发展协调性，坚持区域协同、城乡一体协调发展”的基础保障措施。通过基层图书馆互联互通建设，搭建国家到基层的网络高速公路，将数字图书馆推广工程建设成果面向全国基层深度服务推广，提升区域性数字图书馆服务能力，更好地满足基层人民群众日益增长的文化需求。</w:t>
      </w:r>
    </w:p>
    <w:p w:rsidR="006B0CCC" w:rsidRPr="00C87731" w:rsidRDefault="006B0CCC" w:rsidP="006B0CCC">
      <w:pPr>
        <w:spacing w:line="560" w:lineRule="exact"/>
        <w:ind w:firstLineChars="200" w:firstLine="640"/>
        <w:rPr>
          <w:rFonts w:ascii="黑体" w:eastAsia="黑体" w:hAnsi="黑体"/>
          <w:sz w:val="32"/>
          <w:szCs w:val="32"/>
        </w:rPr>
      </w:pPr>
      <w:r w:rsidRPr="00C87731">
        <w:rPr>
          <w:rFonts w:ascii="黑体" w:eastAsia="黑体" w:hAnsi="黑体" w:hint="eastAsia"/>
          <w:sz w:val="32"/>
          <w:szCs w:val="32"/>
        </w:rPr>
        <w:t>二、工作要求</w:t>
      </w:r>
    </w:p>
    <w:p w:rsidR="006B0CCC" w:rsidRPr="00716160" w:rsidRDefault="006B0CCC" w:rsidP="006B0CCC">
      <w:pPr>
        <w:spacing w:line="560" w:lineRule="exact"/>
        <w:ind w:firstLineChars="196" w:firstLine="627"/>
        <w:jc w:val="left"/>
        <w:rPr>
          <w:rFonts w:ascii="仿宋_GB2312" w:eastAsia="仿宋_GB2312" w:hint="eastAsia"/>
          <w:sz w:val="32"/>
          <w:szCs w:val="32"/>
        </w:rPr>
      </w:pPr>
      <w:r w:rsidRPr="00716160">
        <w:rPr>
          <w:rFonts w:ascii="仿宋_GB2312" w:eastAsia="仿宋_GB2312" w:hint="eastAsia"/>
          <w:sz w:val="32"/>
          <w:szCs w:val="32"/>
        </w:rPr>
        <w:t>1</w:t>
      </w:r>
      <w:r>
        <w:rPr>
          <w:rFonts w:ascii="仿宋_GB2312" w:eastAsia="仿宋_GB2312" w:hint="eastAsia"/>
          <w:sz w:val="32"/>
          <w:szCs w:val="32"/>
        </w:rPr>
        <w:t>.</w:t>
      </w:r>
      <w:r w:rsidRPr="00716160">
        <w:rPr>
          <w:rFonts w:ascii="仿宋_GB2312" w:eastAsia="仿宋_GB2312" w:hint="eastAsia"/>
          <w:sz w:val="32"/>
          <w:szCs w:val="32"/>
        </w:rPr>
        <w:t>由省馆统筹面向县级图书馆开展数字图书馆网络互联互通建设规划实施等具体工作,省馆需在建设开展前期向国家图书馆提交互联互通建设报备表（见附表）；</w:t>
      </w:r>
    </w:p>
    <w:p w:rsidR="006B0CCC" w:rsidRPr="00716160" w:rsidRDefault="006B0CCC" w:rsidP="006B0CCC">
      <w:pPr>
        <w:spacing w:line="560" w:lineRule="exact"/>
        <w:ind w:firstLineChars="196" w:firstLine="627"/>
        <w:jc w:val="left"/>
        <w:rPr>
          <w:rFonts w:ascii="仿宋_GB2312" w:eastAsia="仿宋_GB2312" w:hint="eastAsia"/>
          <w:sz w:val="32"/>
          <w:szCs w:val="32"/>
        </w:rPr>
      </w:pPr>
      <w:r w:rsidRPr="00716160">
        <w:rPr>
          <w:rFonts w:ascii="仿宋_GB2312" w:eastAsia="仿宋_GB2312" w:hint="eastAsia"/>
          <w:sz w:val="32"/>
          <w:szCs w:val="32"/>
        </w:rPr>
        <w:t>2</w:t>
      </w:r>
      <w:r>
        <w:rPr>
          <w:rFonts w:ascii="仿宋_GB2312" w:eastAsia="仿宋_GB2312" w:hint="eastAsia"/>
          <w:sz w:val="32"/>
          <w:szCs w:val="32"/>
        </w:rPr>
        <w:t>.</w:t>
      </w:r>
      <w:r w:rsidRPr="00716160">
        <w:rPr>
          <w:rFonts w:ascii="仿宋_GB2312" w:eastAsia="仿宋_GB2312" w:hint="eastAsia"/>
          <w:sz w:val="32"/>
          <w:szCs w:val="32"/>
        </w:rPr>
        <w:t>通过专线建设（10M以上物理链路）将县级图书馆接入国家数字图书馆网络体系，保障基层图书馆的数字图书馆专网服务和安全运行；</w:t>
      </w:r>
    </w:p>
    <w:p w:rsidR="006B0CCC" w:rsidRPr="00716160" w:rsidRDefault="006B0CCC" w:rsidP="006B0CCC">
      <w:pPr>
        <w:spacing w:line="560" w:lineRule="exact"/>
        <w:ind w:firstLineChars="196" w:firstLine="627"/>
        <w:jc w:val="left"/>
        <w:rPr>
          <w:rFonts w:ascii="仿宋_GB2312" w:eastAsia="仿宋_GB2312" w:hint="eastAsia"/>
          <w:sz w:val="32"/>
          <w:szCs w:val="32"/>
        </w:rPr>
      </w:pPr>
      <w:r w:rsidRPr="00716160">
        <w:rPr>
          <w:rFonts w:ascii="仿宋_GB2312" w:eastAsia="仿宋_GB2312" w:hint="eastAsia"/>
          <w:sz w:val="32"/>
          <w:szCs w:val="32"/>
        </w:rPr>
        <w:t>3</w:t>
      </w:r>
      <w:r>
        <w:rPr>
          <w:rFonts w:ascii="仿宋_GB2312" w:eastAsia="仿宋_GB2312" w:hint="eastAsia"/>
          <w:sz w:val="32"/>
          <w:szCs w:val="32"/>
        </w:rPr>
        <w:t>.</w:t>
      </w:r>
      <w:r w:rsidRPr="00716160">
        <w:rPr>
          <w:rFonts w:ascii="仿宋_GB2312" w:eastAsia="仿宋_GB2312" w:hint="eastAsia"/>
          <w:sz w:val="32"/>
          <w:szCs w:val="32"/>
        </w:rPr>
        <w:t>由省馆统筹采购交换机、无线设备等网络基础设施，为县级图书馆建设馆内局域网及无线网络接入。</w:t>
      </w:r>
    </w:p>
    <w:p w:rsidR="006B0CCC" w:rsidRPr="00C87731" w:rsidRDefault="006B0CCC" w:rsidP="006B0CCC">
      <w:pPr>
        <w:spacing w:line="560" w:lineRule="exact"/>
        <w:ind w:firstLineChars="200" w:firstLine="640"/>
        <w:rPr>
          <w:rFonts w:ascii="黑体" w:eastAsia="黑体" w:hAnsi="黑体"/>
          <w:sz w:val="32"/>
          <w:szCs w:val="32"/>
        </w:rPr>
      </w:pPr>
      <w:r w:rsidRPr="00C87731">
        <w:rPr>
          <w:rFonts w:ascii="黑体" w:eastAsia="黑体" w:hAnsi="黑体" w:hint="eastAsia"/>
          <w:sz w:val="32"/>
          <w:szCs w:val="32"/>
        </w:rPr>
        <w:lastRenderedPageBreak/>
        <w:t>三、工作对接</w:t>
      </w:r>
    </w:p>
    <w:p w:rsidR="006B0CCC" w:rsidRPr="00716160" w:rsidRDefault="006B0CCC" w:rsidP="006B0CCC">
      <w:pPr>
        <w:spacing w:line="560" w:lineRule="exact"/>
        <w:ind w:firstLineChars="196" w:firstLine="627"/>
        <w:jc w:val="left"/>
        <w:rPr>
          <w:rFonts w:ascii="仿宋_GB2312" w:eastAsia="仿宋_GB2312" w:hint="eastAsia"/>
          <w:sz w:val="32"/>
          <w:szCs w:val="32"/>
        </w:rPr>
      </w:pPr>
      <w:r w:rsidRPr="00716160">
        <w:rPr>
          <w:rFonts w:ascii="仿宋_GB2312" w:eastAsia="仿宋_GB2312" w:hint="eastAsia"/>
          <w:sz w:val="32"/>
          <w:szCs w:val="32"/>
        </w:rPr>
        <w:t>数字图书馆网络互联互通工作联系人：李东杰</w:t>
      </w:r>
    </w:p>
    <w:p w:rsidR="006B0CCC" w:rsidRPr="00716160" w:rsidRDefault="006B0CCC" w:rsidP="006B0CCC">
      <w:pPr>
        <w:spacing w:line="560" w:lineRule="exact"/>
        <w:ind w:firstLineChars="196" w:firstLine="627"/>
        <w:jc w:val="left"/>
        <w:rPr>
          <w:rFonts w:ascii="仿宋_GB2312" w:eastAsia="仿宋_GB2312" w:hint="eastAsia"/>
          <w:sz w:val="32"/>
          <w:szCs w:val="32"/>
        </w:rPr>
      </w:pPr>
      <w:r w:rsidRPr="00716160">
        <w:rPr>
          <w:rFonts w:ascii="仿宋_GB2312" w:eastAsia="仿宋_GB2312" w:hint="eastAsia"/>
          <w:sz w:val="32"/>
          <w:szCs w:val="32"/>
        </w:rPr>
        <w:t>联系电话：010-88545342</w:t>
      </w:r>
    </w:p>
    <w:p w:rsidR="006B0CCC" w:rsidRPr="00716160" w:rsidRDefault="006B0CCC" w:rsidP="006B0CCC">
      <w:pPr>
        <w:spacing w:line="560" w:lineRule="exact"/>
        <w:ind w:firstLineChars="196" w:firstLine="627"/>
        <w:jc w:val="left"/>
        <w:rPr>
          <w:rFonts w:ascii="仿宋_GB2312" w:eastAsia="仿宋_GB2312" w:hint="eastAsia"/>
          <w:sz w:val="32"/>
          <w:szCs w:val="32"/>
        </w:rPr>
      </w:pPr>
      <w:r w:rsidRPr="00716160">
        <w:rPr>
          <w:rFonts w:ascii="仿宋_GB2312" w:eastAsia="仿宋_GB2312" w:hint="eastAsia"/>
          <w:sz w:val="32"/>
          <w:szCs w:val="32"/>
        </w:rPr>
        <w:t>邮箱：lidj@nlc.cn</w:t>
      </w:r>
    </w:p>
    <w:p w:rsidR="00722613" w:rsidRPr="006B0CCC" w:rsidRDefault="00722613">
      <w:bookmarkStart w:id="0" w:name="_GoBack"/>
      <w:bookmarkEnd w:id="0"/>
    </w:p>
    <w:sectPr w:rsidR="00722613" w:rsidRPr="006B0C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CCC"/>
    <w:rsid w:val="006B0CCC"/>
    <w:rsid w:val="00722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CC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CC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qinghua</dc:creator>
  <cp:lastModifiedBy>qinghua</cp:lastModifiedBy>
  <cp:revision>1</cp:revision>
  <dcterms:created xsi:type="dcterms:W3CDTF">2016-10-21T08:38:00Z</dcterms:created>
  <dcterms:modified xsi:type="dcterms:W3CDTF">2016-10-21T08:38:00Z</dcterms:modified>
</cp:coreProperties>
</file>