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89" w:rsidRPr="006C4556" w:rsidRDefault="00046589" w:rsidP="00046589">
      <w:pPr>
        <w:spacing w:line="360" w:lineRule="auto"/>
        <w:jc w:val="left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附件5</w:t>
      </w:r>
    </w:p>
    <w:p w:rsidR="00046589" w:rsidRPr="006C4556" w:rsidRDefault="00046589" w:rsidP="00046589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推广工程数字资源联合建设</w:t>
      </w:r>
    </w:p>
    <w:p w:rsidR="00046589" w:rsidRPr="006C4556" w:rsidRDefault="00046589" w:rsidP="00046589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2"/>
        </w:rPr>
      </w:pPr>
      <w:r w:rsidRPr="006C4556">
        <w:rPr>
          <w:rFonts w:ascii="华文中宋" w:eastAsia="华文中宋" w:hAnsi="华文中宋" w:cstheme="minorBidi" w:hint="eastAsia"/>
          <w:sz w:val="32"/>
          <w:szCs w:val="32"/>
        </w:rPr>
        <w:t>政府公开信息项目建设方案（2015）</w:t>
      </w:r>
    </w:p>
    <w:p w:rsidR="00046589" w:rsidRPr="006C4556" w:rsidRDefault="00046589" w:rsidP="00046589">
      <w:pPr>
        <w:spacing w:line="360" w:lineRule="auto"/>
        <w:jc w:val="center"/>
        <w:rPr>
          <w:rFonts w:ascii="仿宋_GB2312" w:eastAsia="仿宋_GB2312" w:hAnsi="华文仿宋" w:cstheme="minorBidi"/>
          <w:sz w:val="32"/>
          <w:szCs w:val="32"/>
        </w:rPr>
      </w:pPr>
    </w:p>
    <w:p w:rsidR="00046589" w:rsidRPr="006C4556" w:rsidRDefault="00046589" w:rsidP="00046589">
      <w:pPr>
        <w:spacing w:line="360" w:lineRule="auto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一、建设内容</w:t>
      </w:r>
    </w:p>
    <w:p w:rsidR="00046589" w:rsidRPr="006C4556" w:rsidRDefault="00046589" w:rsidP="00046589">
      <w:pPr>
        <w:spacing w:line="360" w:lineRule="auto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 xml:space="preserve">    1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政府公开信息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包括政府</w:t>
      </w:r>
      <w:r w:rsidRPr="006C4556">
        <w:rPr>
          <w:rFonts w:ascii="仿宋_GB2312" w:eastAsia="仿宋_GB2312" w:hAnsi="华文仿宋" w:cstheme="minorBidi"/>
          <w:sz w:val="32"/>
          <w:szCs w:val="32"/>
        </w:rPr>
        <w:t>网站上的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政府信息公开专栏下的信息和其他栏目</w:t>
      </w:r>
      <w:r w:rsidRPr="006C4556">
        <w:rPr>
          <w:rFonts w:ascii="仿宋_GB2312" w:eastAsia="仿宋_GB2312" w:hAnsi="华文仿宋" w:cstheme="minorBidi"/>
          <w:sz w:val="32"/>
          <w:szCs w:val="32"/>
        </w:rPr>
        <w:t>下的公文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信息。</w:t>
      </w:r>
    </w:p>
    <w:p w:rsidR="00046589" w:rsidRPr="006C4556" w:rsidRDefault="00046589" w:rsidP="00046589">
      <w:pPr>
        <w:spacing w:line="360" w:lineRule="auto"/>
        <w:ind w:firstLineChars="200" w:firstLine="643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政府信息公开专栏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：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指各政府机构在其网站上专门设置的信息公开专栏下的信息。</w:t>
      </w:r>
    </w:p>
    <w:p w:rsidR="00046589" w:rsidRPr="006C4556" w:rsidRDefault="00046589" w:rsidP="00046589">
      <w:pPr>
        <w:spacing w:line="360" w:lineRule="auto"/>
        <w:ind w:firstLineChars="200" w:firstLine="643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其他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公文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信息：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政府网站其他栏目中的公文类信息，主要包括通知通告、法律法规、统计信息、财政信息、应急管理、总结规划等。机构新闻、调查研究、案例点评、文学创作等均不在收录之列。</w:t>
      </w:r>
    </w:p>
    <w:p w:rsidR="00046589" w:rsidRPr="006C4556" w:rsidRDefault="00046589" w:rsidP="00046589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/>
          <w:b/>
          <w:sz w:val="32"/>
          <w:szCs w:val="32"/>
        </w:rPr>
        <w:t>2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政府公报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/>
          <w:sz w:val="32"/>
          <w:szCs w:val="32"/>
        </w:rPr>
        <w:t>政府机关出版发行的以登载法令、方针、政策、宣言、声明、人事任免等各类政府文件为主要内容的连续出版物。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一般政府门户网站中设有“政府公报”专栏。</w:t>
      </w:r>
    </w:p>
    <w:p w:rsidR="00046589" w:rsidRPr="006C4556" w:rsidRDefault="00046589" w:rsidP="00046589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/>
          <w:b/>
          <w:sz w:val="32"/>
          <w:szCs w:val="32"/>
        </w:rPr>
        <w:t>3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/>
          <w:b/>
          <w:sz w:val="32"/>
          <w:szCs w:val="32"/>
        </w:rPr>
        <w:t>政府机构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以政府机构为著录对象制作元数据。政府机构是指本行政区内的人民政府及其各组成部门、直属机构、派出机构等。一般在政府门户网站中设有机构列表的栏目。</w:t>
      </w:r>
    </w:p>
    <w:p w:rsidR="00046589" w:rsidRPr="006C4556" w:rsidRDefault="00046589" w:rsidP="00046589">
      <w:pPr>
        <w:spacing w:line="360" w:lineRule="auto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lastRenderedPageBreak/>
        <w:t>二、工作流程</w:t>
      </w:r>
    </w:p>
    <w:p w:rsidR="00046589" w:rsidRPr="006C4556" w:rsidRDefault="00046589" w:rsidP="00046589">
      <w:pPr>
        <w:spacing w:line="360" w:lineRule="auto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 xml:space="preserve">    政府公开信息项目由国家图书馆提供统一的工作平台，各馆无需安装软件，通过账号登录平台即可开展数据建设与服务。工作流程如下：</w:t>
      </w:r>
    </w:p>
    <w:p w:rsidR="00046589" w:rsidRPr="006C4556" w:rsidRDefault="00046589" w:rsidP="00046589">
      <w:pPr>
        <w:spacing w:line="360" w:lineRule="auto"/>
        <w:ind w:firstLineChars="220" w:firstLine="707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1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采集准备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按照政府公开信息项目建设内容，对符合收录要求的政府信息进行整理。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将拟采集的政府信息网址整理成</w:t>
      </w:r>
      <w:r>
        <w:rPr>
          <w:rFonts w:ascii="仿宋_GB2312" w:eastAsia="仿宋_GB2312" w:hAnsi="华文仿宋" w:cstheme="minorBidi"/>
          <w:b/>
          <w:sz w:val="32"/>
          <w:szCs w:val="32"/>
        </w:rPr>
        <w:t>EXCEL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文档，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市馆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提交给省馆初审,省馆初审后,连同初审意见一同提交给国家图书馆审核，由国家图书馆出具审核意见。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在采集数据前，要对拟采集的政府信息进行查重，本项目已建成的资源不再重复收录。</w:t>
      </w:r>
    </w:p>
    <w:p w:rsidR="00046589" w:rsidRPr="006C4556" w:rsidRDefault="00046589" w:rsidP="00046589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2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数据制作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数据制作流程根据数据采集方式不同分为两种，各馆可根据实际情况选择适合的数据制作方式。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（1）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自动采集</w:t>
      </w:r>
    </w:p>
    <w:p w:rsidR="00046589" w:rsidRPr="006C4556" w:rsidRDefault="00046589" w:rsidP="00046589">
      <w:pPr>
        <w:spacing w:line="360" w:lineRule="auto"/>
        <w:ind w:firstLineChars="196" w:firstLine="63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采集：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利用网络采集工具，按照采集列表和预先设定的采集规则，自动采集各政府网站的页面信息。</w:t>
      </w:r>
    </w:p>
    <w:p w:rsidR="00046589" w:rsidRPr="006C4556" w:rsidRDefault="00046589" w:rsidP="00046589">
      <w:pPr>
        <w:spacing w:line="360" w:lineRule="auto"/>
        <w:ind w:firstLineChars="196" w:firstLine="63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导入：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将采集到的政府信息导入到本项目的后台管理系统。选择自动采集方式建设数据的馆需要事先通知国家图书馆，进行数据导入前期测试。</w:t>
      </w:r>
    </w:p>
    <w:p w:rsidR="00046589" w:rsidRPr="006C4556" w:rsidRDefault="00046589" w:rsidP="00046589">
      <w:pPr>
        <w:spacing w:line="360" w:lineRule="auto"/>
        <w:ind w:firstLineChars="196" w:firstLine="63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编目：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按照</w:t>
      </w:r>
      <w:r>
        <w:rPr>
          <w:rFonts w:ascii="仿宋_GB2312" w:eastAsia="仿宋_GB2312" w:hAnsi="华文仿宋" w:cstheme="minorBidi" w:hint="eastAsia"/>
          <w:sz w:val="32"/>
          <w:szCs w:val="32"/>
        </w:rPr>
        <w:t>《推广</w:t>
      </w:r>
      <w:r>
        <w:rPr>
          <w:rFonts w:ascii="仿宋_GB2312" w:eastAsia="仿宋_GB2312" w:hAnsi="华文仿宋" w:cstheme="minorBidi"/>
          <w:sz w:val="32"/>
          <w:szCs w:val="32"/>
        </w:rPr>
        <w:t>工程数字资源联合建设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政府公开信息元数据著录规则</w:t>
      </w:r>
      <w:r>
        <w:rPr>
          <w:rFonts w:ascii="仿宋_GB2312" w:eastAsia="仿宋_GB2312" w:hAnsi="华文仿宋" w:cstheme="minorBidi" w:hint="eastAsia"/>
          <w:sz w:val="32"/>
          <w:szCs w:val="32"/>
        </w:rPr>
        <w:t>（2015）》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对采集到的政府信息进行编目。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lastRenderedPageBreak/>
        <w:t>如果系统在数据采集中实现了自动编目，则需对自动编目的内容进行校对和个别字段内容的补充。</w:t>
      </w:r>
    </w:p>
    <w:p w:rsidR="00046589" w:rsidRPr="006C4556" w:rsidRDefault="00046589" w:rsidP="00046589">
      <w:pPr>
        <w:spacing w:line="360" w:lineRule="auto"/>
        <w:ind w:firstLineChars="196" w:firstLine="630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（2）人工采集</w:t>
      </w:r>
    </w:p>
    <w:p w:rsidR="00046589" w:rsidRPr="006C4556" w:rsidRDefault="00046589" w:rsidP="00046589">
      <w:pPr>
        <w:spacing w:line="360" w:lineRule="auto"/>
        <w:ind w:firstLineChars="196" w:firstLine="627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基于政府公开信息后台管理系统，根据采集列表人工逐条录入政府信息。在信息录入的同时，根据“著录规则”完成信息的编目。</w:t>
      </w:r>
    </w:p>
    <w:p w:rsidR="00046589" w:rsidRPr="006C4556" w:rsidRDefault="00046589" w:rsidP="00046589">
      <w:pPr>
        <w:spacing w:line="360" w:lineRule="auto"/>
        <w:ind w:firstLineChars="200" w:firstLine="643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3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数据审校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按照“著录规则”对编目完成的数据进行审校，保证各字段的准确、完整、命名规范，真实反映政府信息原貌。</w:t>
      </w:r>
    </w:p>
    <w:p w:rsidR="00046589" w:rsidRPr="006C4556" w:rsidRDefault="00046589" w:rsidP="00046589">
      <w:pPr>
        <w:spacing w:line="360" w:lineRule="auto"/>
        <w:ind w:firstLineChars="200" w:firstLine="643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4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数据发布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数据经审校无误后要进行发布。发布成功的数据即可在建设馆</w:t>
      </w:r>
      <w:r w:rsidRPr="006C4556">
        <w:rPr>
          <w:rFonts w:ascii="仿宋_GB2312" w:eastAsia="仿宋_GB2312" w:hAnsi="华文仿宋" w:cstheme="minorBidi"/>
          <w:sz w:val="32"/>
          <w:szCs w:val="32"/>
        </w:rPr>
        <w:t>的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前台网站显示。前台网站可由国家图书馆协助建设，统一命名为“中国政府公开信息</w:t>
      </w:r>
      <w:r>
        <w:rPr>
          <w:rFonts w:ascii="仿宋_GB2312" w:eastAsia="仿宋_GB2312" w:hAnsi="华文仿宋" w:cstheme="minorBidi" w:hint="eastAsia"/>
          <w:sz w:val="32"/>
          <w:szCs w:val="32"/>
        </w:rPr>
        <w:t>整合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服务平台××分站”。各馆基于分站网站开展本馆所建政府信息的浏览、检索和集中展示服务。</w:t>
      </w:r>
    </w:p>
    <w:p w:rsidR="00046589" w:rsidRPr="006C4556" w:rsidRDefault="00046589" w:rsidP="00046589">
      <w:pPr>
        <w:spacing w:line="360" w:lineRule="auto"/>
        <w:ind w:firstLineChars="198" w:firstLine="636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/>
          <w:b/>
          <w:sz w:val="32"/>
          <w:szCs w:val="32"/>
        </w:rPr>
        <w:t>5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数据验收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按照联建方案规定的项目进度，各馆在规定日期之前，向国家图书馆提交已由第三方机构初检合格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的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全部数字资源。经国家图书馆终验合格后，提交成品数据。</w:t>
      </w:r>
    </w:p>
    <w:p w:rsidR="00046589" w:rsidRPr="006C4556" w:rsidRDefault="00046589" w:rsidP="00046589">
      <w:pPr>
        <w:spacing w:line="360" w:lineRule="auto"/>
        <w:ind w:firstLineChars="196" w:firstLine="630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/>
          <w:b/>
          <w:sz w:val="32"/>
          <w:szCs w:val="32"/>
        </w:rPr>
        <w:t>6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数据维护</w:t>
      </w:r>
    </w:p>
    <w:p w:rsidR="00046589" w:rsidRPr="006C4556" w:rsidRDefault="00046589" w:rsidP="00046589">
      <w:pPr>
        <w:spacing w:line="360" w:lineRule="auto"/>
        <w:ind w:firstLineChars="200" w:firstLine="640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对本机构的后台数据和前台网站进行长期维护。保障后台数据准确无误、前台页面正常显示并及时更新。</w:t>
      </w:r>
    </w:p>
    <w:p w:rsidR="00046589" w:rsidRPr="006C4556" w:rsidRDefault="00046589" w:rsidP="00046589">
      <w:pPr>
        <w:spacing w:line="360" w:lineRule="auto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lastRenderedPageBreak/>
        <w:t>三、成果提交</w:t>
      </w:r>
    </w:p>
    <w:p w:rsidR="00046589" w:rsidRPr="006C4556" w:rsidRDefault="00046589" w:rsidP="00046589">
      <w:pPr>
        <w:spacing w:line="360" w:lineRule="auto"/>
        <w:ind w:firstLine="645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sz w:val="32"/>
          <w:szCs w:val="32"/>
        </w:rPr>
        <w:t>1</w:t>
      </w:r>
      <w:r>
        <w:rPr>
          <w:rFonts w:ascii="仿宋_GB2312" w:eastAsia="仿宋_GB2312" w:hAnsi="华文仿宋" w:cstheme="minorBidi" w:hint="eastAsia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存储并</w:t>
      </w:r>
      <w:r w:rsidRPr="006C4556">
        <w:rPr>
          <w:rFonts w:ascii="仿宋_GB2312" w:eastAsia="仿宋_GB2312" w:hAnsi="华文仿宋" w:cstheme="minorBidi"/>
          <w:sz w:val="32"/>
          <w:szCs w:val="32"/>
        </w:rPr>
        <w:t>发布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于政府公开信息</w:t>
      </w:r>
      <w:r>
        <w:rPr>
          <w:rFonts w:ascii="仿宋_GB2312" w:eastAsia="仿宋_GB2312" w:hAnsi="华文仿宋" w:cstheme="minorBidi" w:hint="eastAsia"/>
          <w:sz w:val="32"/>
          <w:szCs w:val="32"/>
        </w:rPr>
        <w:t>整合</w:t>
      </w:r>
      <w:r w:rsidRPr="006C4556">
        <w:rPr>
          <w:rFonts w:ascii="仿宋_GB2312" w:eastAsia="仿宋_GB2312" w:hAnsi="华文仿宋" w:cstheme="minorBidi"/>
          <w:sz w:val="32"/>
          <w:szCs w:val="32"/>
        </w:rPr>
        <w:t>服务平台的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数据。</w:t>
      </w:r>
    </w:p>
    <w:p w:rsidR="00046589" w:rsidRDefault="00046589" w:rsidP="00046589">
      <w:pPr>
        <w:spacing w:line="360" w:lineRule="auto"/>
        <w:ind w:firstLine="645"/>
        <w:rPr>
          <w:rFonts w:ascii="仿宋_GB2312" w:eastAsia="仿宋_GB2312" w:hAnsi="华文仿宋" w:cstheme="minorBidi"/>
          <w:sz w:val="32"/>
          <w:szCs w:val="32"/>
        </w:rPr>
      </w:pPr>
      <w:r w:rsidRPr="006C4556">
        <w:rPr>
          <w:rFonts w:ascii="仿宋_GB2312" w:eastAsia="仿宋_GB2312" w:hAnsi="华文仿宋" w:cstheme="minorBidi"/>
          <w:sz w:val="32"/>
          <w:szCs w:val="32"/>
        </w:rPr>
        <w:t>2</w:t>
      </w:r>
      <w:r>
        <w:rPr>
          <w:rFonts w:ascii="仿宋_GB2312" w:eastAsia="仿宋_GB2312" w:hAnsi="华文仿宋" w:cstheme="minorBidi" w:hint="eastAsia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sz w:val="32"/>
          <w:szCs w:val="32"/>
        </w:rPr>
        <w:t>第三方质检报告。</w:t>
      </w:r>
    </w:p>
    <w:p w:rsidR="00046589" w:rsidRDefault="00046589" w:rsidP="00046589">
      <w:pPr>
        <w:spacing w:line="360" w:lineRule="auto"/>
        <w:ind w:firstLine="645"/>
        <w:rPr>
          <w:rFonts w:ascii="仿宋_GB2312" w:eastAsia="仿宋_GB2312" w:hAnsi="华文仿宋" w:cstheme="minorBidi"/>
          <w:sz w:val="32"/>
          <w:szCs w:val="32"/>
        </w:rPr>
      </w:pPr>
    </w:p>
    <w:p w:rsidR="00046589" w:rsidRPr="00AA3F99" w:rsidRDefault="00046589" w:rsidP="00046589">
      <w:pPr>
        <w:widowControl/>
        <w:spacing w:line="360" w:lineRule="auto"/>
        <w:ind w:firstLineChars="200" w:firstLine="643"/>
        <w:jc w:val="left"/>
        <w:rPr>
          <w:rFonts w:ascii="仿宋_GB2312" w:eastAsia="仿宋_GB2312" w:hAnsi="华文中宋" w:cstheme="minorBidi"/>
          <w:b/>
          <w:sz w:val="32"/>
          <w:szCs w:val="36"/>
        </w:rPr>
      </w:pPr>
      <w:r w:rsidRPr="00AA3F99">
        <w:rPr>
          <w:rFonts w:ascii="仿宋_GB2312" w:eastAsia="仿宋_GB2312" w:hAnsi="华文中宋" w:cstheme="minorBidi" w:hint="eastAsia"/>
          <w:b/>
          <w:sz w:val="32"/>
          <w:szCs w:val="36"/>
        </w:rPr>
        <w:t>注: 相关规则及表格请登录推广工程网站“文件下载”栏目查看。网址：http://www.ndlib.cn/cswjxz/）。</w:t>
      </w:r>
    </w:p>
    <w:p w:rsidR="00FA3074" w:rsidRPr="00046589" w:rsidRDefault="00FA3074"/>
    <w:sectPr w:rsidR="00FA3074" w:rsidRPr="0004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74" w:rsidRDefault="00FA3074" w:rsidP="00046589">
      <w:r>
        <w:separator/>
      </w:r>
    </w:p>
  </w:endnote>
  <w:endnote w:type="continuationSeparator" w:id="1">
    <w:p w:rsidR="00FA3074" w:rsidRDefault="00FA3074" w:rsidP="0004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Yg2gj">
    <w:altName w:val="创艺简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74" w:rsidRDefault="00FA3074" w:rsidP="00046589">
      <w:r>
        <w:separator/>
      </w:r>
    </w:p>
  </w:footnote>
  <w:footnote w:type="continuationSeparator" w:id="1">
    <w:p w:rsidR="00FA3074" w:rsidRDefault="00FA3074" w:rsidP="00046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589"/>
    <w:rsid w:val="00046589"/>
    <w:rsid w:val="00FA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2015-09-18T05:15:00Z</dcterms:created>
  <dcterms:modified xsi:type="dcterms:W3CDTF">2015-09-18T05:15:00Z</dcterms:modified>
</cp:coreProperties>
</file>